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63867" w14:textId="2AE938AF" w:rsidR="00CD0D3F" w:rsidRPr="00CD0D3F" w:rsidRDefault="00CD0D3F" w:rsidP="00CD0D3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Развитие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психосоматологии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от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Гиппократа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до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наших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дней</w:t>
      </w:r>
    </w:p>
    <w:p w14:paraId="5E1D8B9E" w14:textId="05457FC3" w:rsidR="00CD0D3F" w:rsidRPr="00CD0D3F" w:rsidRDefault="00CD0D3F" w:rsidP="00CD0D3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BA3FE" w14:textId="500732A2" w:rsidR="00232F8E" w:rsidRPr="00CD0D3F" w:rsidRDefault="00CD0D3F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3F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3F2E4765" w14:textId="6D75BFA9" w:rsidR="00CD0D3F" w:rsidRPr="00CD0D3F" w:rsidRDefault="00CD0D3F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6ABA8" w14:textId="1197024A" w:rsidR="00CD0D3F" w:rsidRPr="00CD0D3F" w:rsidRDefault="00CD0D3F" w:rsidP="00CD0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Введение…………………………………………………………………………...3</w:t>
      </w:r>
    </w:p>
    <w:p w14:paraId="0B19111C" w14:textId="1561A645" w:rsidR="00CD0D3F" w:rsidRPr="00CD0D3F" w:rsidRDefault="00CD0D3F" w:rsidP="00CD0D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1.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Понятие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психосоматики……………………………………………………….4</w:t>
      </w:r>
    </w:p>
    <w:p w14:paraId="7E7FBF06" w14:textId="5DC02560" w:rsidR="00CD0D3F" w:rsidRPr="00CD0D3F" w:rsidRDefault="00CD0D3F" w:rsidP="00CD0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2.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История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основные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концепции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психосоматической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медицины…………</w:t>
      </w:r>
      <w:r w:rsidR="0085039C">
        <w:rPr>
          <w:rFonts w:ascii="Times New Roman" w:hAnsi="Times New Roman" w:cs="Times New Roman"/>
          <w:sz w:val="28"/>
          <w:szCs w:val="28"/>
        </w:rPr>
        <w:t>….5</w:t>
      </w:r>
    </w:p>
    <w:p w14:paraId="277A1432" w14:textId="66FABC17" w:rsidR="00CD0D3F" w:rsidRPr="00CD0D3F" w:rsidRDefault="00CD0D3F" w:rsidP="00CD0D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</w:t>
      </w:r>
      <w:r w:rsidR="0085039C">
        <w:rPr>
          <w:rFonts w:ascii="Times New Roman" w:hAnsi="Times New Roman" w:cs="Times New Roman"/>
          <w:sz w:val="28"/>
          <w:szCs w:val="28"/>
        </w:rPr>
        <w:t>…...9</w:t>
      </w:r>
    </w:p>
    <w:p w14:paraId="39C5495B" w14:textId="299D2163" w:rsidR="00CD0D3F" w:rsidRPr="00CD0D3F" w:rsidRDefault="00CD0D3F" w:rsidP="00CD0D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Список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литературы……………………………………………………………</w:t>
      </w:r>
      <w:r w:rsidR="0085039C">
        <w:rPr>
          <w:rFonts w:ascii="Times New Roman" w:hAnsi="Times New Roman" w:cs="Times New Roman"/>
          <w:sz w:val="28"/>
          <w:szCs w:val="28"/>
        </w:rPr>
        <w:t>…10</w:t>
      </w:r>
    </w:p>
    <w:p w14:paraId="26F4AF61" w14:textId="4C53BC00" w:rsidR="00CD0D3F" w:rsidRPr="00CD0D3F" w:rsidRDefault="00CD0D3F" w:rsidP="00CD0D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br w:type="page"/>
      </w:r>
    </w:p>
    <w:p w14:paraId="680DECCF" w14:textId="012467B3" w:rsidR="00CD0D3F" w:rsidRDefault="00CD0D3F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0D1CEAF8" w14:textId="77777777" w:rsidR="00CD0D3F" w:rsidRDefault="00CD0D3F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EAC3C" w14:textId="4FEDEEEA" w:rsidR="0085039C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развитием научно-технического прогресса за последние века жизнь человека в значительной мере изменилась. </w:t>
      </w:r>
      <w:r w:rsidR="0085039C"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одной стороны,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новые технологии облегчили труд и сделали возможным удовлетворение базовых проблем большей части человечества. </w:t>
      </w:r>
      <w:r w:rsidR="0085039C"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другой стороны,</w:t>
      </w: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напряженный ритм жизни, вызванный трансформацией в производственных и управленческих отношениях, ускорение процессов производства и развитие каналов коммуникации привели к росту стрессов и психологической нагрузки на человека. </w:t>
      </w:r>
    </w:p>
    <w:p w14:paraId="79A16774" w14:textId="4E63F158" w:rsidR="0085039C" w:rsidRPr="0085039C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Современная личность за десять лет получает больше информации и переживает больше стрессов, чем ее предки за всю свою жизнь. Далеко не все люди быстро адаптируются к подобным условиям. Многие представители современного общества страдают от продолжительного дистресса, в результате которого у них развиваются психические и психосоматические расстройства. Безусловно, психосоматические болезни не являются абсолютно новым явлением, но значительный рост заболеваемости наметился именно в индустриальном и постиндустриальном обществе. Реакцией научного мира на подобные изменения стало появление нового междисциплинарного направления теоретических исследований и практических мероприятий, получившего название психосоматики (от лат. «психо» - душа и «сома» - тело»).</w:t>
      </w:r>
    </w:p>
    <w:p w14:paraId="1F0AA420" w14:textId="493548EE" w:rsidR="00CD0D3F" w:rsidRPr="00727F64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Цель: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рассмотреть историю развития психосоматологии от Гиппократа до наших дней.</w:t>
      </w:r>
    </w:p>
    <w:p w14:paraId="5973107D" w14:textId="77777777" w:rsidR="00727F64" w:rsidRDefault="00727F64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24508" w14:textId="154F203B" w:rsidR="0073006A" w:rsidRDefault="0073006A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BBD1752" w14:textId="6C069B4E" w:rsidR="0073006A" w:rsidRPr="0073006A" w:rsidRDefault="0073006A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06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727F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006A">
        <w:rPr>
          <w:rFonts w:ascii="Times New Roman" w:hAnsi="Times New Roman" w:cs="Times New Roman"/>
          <w:b/>
          <w:bCs/>
          <w:sz w:val="28"/>
          <w:szCs w:val="28"/>
        </w:rPr>
        <w:t>Понятие</w:t>
      </w:r>
      <w:r w:rsidR="00727F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006A">
        <w:rPr>
          <w:rFonts w:ascii="Times New Roman" w:hAnsi="Times New Roman" w:cs="Times New Roman"/>
          <w:b/>
          <w:bCs/>
          <w:sz w:val="28"/>
          <w:szCs w:val="28"/>
        </w:rPr>
        <w:t>психосоматики</w:t>
      </w:r>
    </w:p>
    <w:p w14:paraId="0A9704E5" w14:textId="2488C421" w:rsidR="0073006A" w:rsidRDefault="0073006A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24CFA" w14:textId="48D15371" w:rsidR="00727F64" w:rsidRPr="0085039C" w:rsidRDefault="00727F64" w:rsidP="0085039C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7F64">
        <w:rPr>
          <w:rFonts w:ascii="Times New Roman" w:hAnsi="Times New Roman" w:cs="Times New Roman"/>
          <w:sz w:val="28"/>
          <w:szCs w:val="28"/>
        </w:rPr>
        <w:t>Термин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«психосоматика»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предложен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1818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немецким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психиатром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Хейнрот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[1,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с.43].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медицинским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изучает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взаимоотношение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процессов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организме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распространены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группы: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язвенная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желудка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двенадцатиперстной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кишки,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неспецифический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язвенный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колит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бронхиальная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астма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тиреотоксикоз,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артериальная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гипертензия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ревматоидный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артрит,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нейродермит.</w:t>
      </w:r>
    </w:p>
    <w:p w14:paraId="693BADC8" w14:textId="0A9C4CD0" w:rsidR="0073006A" w:rsidRPr="00727F64" w:rsidRDefault="0073006A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Психосоматическая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медицина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(психосоматика)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-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раздел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общей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патологии,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изучающий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соматические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расстройства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болезни,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возникающие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под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влиянием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или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участии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эмоционального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напряжения,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частности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психических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воздействий,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испытанных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индивидуумом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прошлом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или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настоящее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время.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современной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медицине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раздел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психосоматики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представляют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исследования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(клинические,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психологические,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эпидемиологические,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лабораторные),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освещающие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роль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стресса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патогенезе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соматических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заболеваний,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связь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патохарактерологических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поведенческих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особенностей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чувствительностью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или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устойчивостью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определенным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соматическим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заболеваниям,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зависимость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реакции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болезнь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(поведение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болезни)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от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типа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личностного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склада,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влияние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некоторых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методов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лечения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(хирургические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вмешательства,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гемодиализ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п.)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психическое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состояние.</w:t>
      </w:r>
    </w:p>
    <w:p w14:paraId="43DDE2B7" w14:textId="0D1A12A2" w:rsidR="0073006A" w:rsidRDefault="0073006A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Первоначально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понятием</w:t>
      </w:r>
      <w:r w:rsidR="00727F64">
        <w:rPr>
          <w:rFonts w:ascii="Times New Roman" w:hAnsi="Times New Roman" w:cs="Times New Roman"/>
          <w:sz w:val="28"/>
          <w:szCs w:val="28"/>
        </w:rPr>
        <w:t xml:space="preserve"> «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психосоматические</w:t>
      </w:r>
      <w:r w:rsidR="00727F64">
        <w:rPr>
          <w:rFonts w:ascii="Times New Roman" w:hAnsi="Times New Roman" w:cs="Times New Roman"/>
          <w:sz w:val="28"/>
          <w:szCs w:val="28"/>
        </w:rPr>
        <w:t xml:space="preserve">» </w:t>
      </w:r>
      <w:r w:rsidRPr="00727F64">
        <w:rPr>
          <w:rFonts w:ascii="Times New Roman" w:hAnsi="Times New Roman" w:cs="Times New Roman"/>
          <w:sz w:val="28"/>
          <w:szCs w:val="28"/>
        </w:rPr>
        <w:t>объединялись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заболевания,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развитии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которых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существенную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роль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играют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неблагоприятные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психотравмирующие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воздействия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(ишемическая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болезнь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сердца,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артериальная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гипертензия,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язвенная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болезнь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желудка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двенадцатиперстной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кишки,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бронхиальная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астма).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настоящее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время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термин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имеет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два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значения: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одно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связано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его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применением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области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медицины,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второе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-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болезням,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которых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важную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роль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играют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psihologiya" w:tooltip="ПСИХОЛОГИЯ – наука о закономерности психической деятельности человека, его мышлении, внутренних ощущениях, действиях и переживаниях, недоступных объективному наблюдению. Область знаний о функционировании нормальных психических процессов как особой формы жизнедеятельности." w:history="1">
        <w:r w:rsidRPr="00727F6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психологические</w:t>
        </w:r>
      </w:hyperlink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факторы.</w:t>
      </w:r>
    </w:p>
    <w:p w14:paraId="56D6F54E" w14:textId="6933BCBB" w:rsidR="00727F64" w:rsidRPr="00727F64" w:rsidRDefault="00727F64" w:rsidP="00727F6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F6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основные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концепции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психосоматической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b/>
          <w:bCs/>
          <w:sz w:val="28"/>
          <w:szCs w:val="28"/>
        </w:rPr>
        <w:t>медицины</w:t>
      </w:r>
    </w:p>
    <w:p w14:paraId="3186C3FF" w14:textId="1E9B6226" w:rsidR="0073006A" w:rsidRPr="00727F64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14:paraId="7C73F9C0" w14:textId="38665352" w:rsidR="00727F64" w:rsidRPr="00727F64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большинства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выделить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психоэмоционального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фактора,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клинической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принципа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единства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телесного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душевного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больному.</w:t>
      </w:r>
    </w:p>
    <w:p w14:paraId="084142AC" w14:textId="5E0D4961" w:rsidR="00727F64" w:rsidRPr="00727F64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этиологии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расстройств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ведущую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играют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факторов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[1,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45]: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наследственно-конституционные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факторы,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подразделяются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конституционно-типологические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центральной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нервной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(ЦНС)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личностно-акцентуационные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особенности;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психоэмоциональные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психогенные)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острые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хронические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внешние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опосредованные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сферу,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играющие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психогении;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органические,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относят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органическую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(травматическое,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инфекционную,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токсическую,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гипоксическую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т.п.)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предрасположенность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структур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мозга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преморбидным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состояниям.</w:t>
      </w:r>
    </w:p>
    <w:p w14:paraId="4AA78724" w14:textId="6CFFED4E" w:rsidR="00727F64" w:rsidRPr="00727F64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привлекала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выдающихся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учёных.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Сократ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утверждал,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«Неправильно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лечить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глаза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головы,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голову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тела,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души».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Сторонником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психоцентрического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(дух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властвует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телом)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Платон,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Гиппократ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Гален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считали,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отражает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телесные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процессы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(соматоцентрический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подход).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Декарт,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очередь,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противопоставлял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физические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психическим,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считая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качественно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явлениями.</w:t>
      </w:r>
    </w:p>
    <w:p w14:paraId="17F854EF" w14:textId="60A1D3CE" w:rsidR="00727F64" w:rsidRPr="00727F64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М.Я.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Мудров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считал,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душевные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лекарства,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лечат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тело.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Бехтерев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говорил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расстройств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влиянием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[1,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45].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ХХ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особое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получили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психоаналитические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концепции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последователи,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частности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Фрейд,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связывают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ранним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развитием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lastRenderedPageBreak/>
        <w:t>индивида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психотравмами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[1,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46].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исследователи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полагают,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частым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вариантом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невротического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предпубертатные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расстройства,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созреванием.</w:t>
      </w:r>
    </w:p>
    <w:p w14:paraId="2CDF1B09" w14:textId="3A7BFD4C" w:rsidR="00727F64" w:rsidRPr="00727F64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F.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Alexander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объяснил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возникновение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расстройств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связью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механизмов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органической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патологией.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мнению,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механизмы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процессов,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обуславливают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поддержание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гомеостаза,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борьбе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бегству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опасной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(как,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просвета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кровеносных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сосудов).</w:t>
      </w:r>
    </w:p>
    <w:p w14:paraId="061CE351" w14:textId="3649EB09" w:rsidR="00727F64" w:rsidRPr="00727F64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расстройствам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отнести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состояния,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возникают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факторов.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Клинически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проявляются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вариантов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[2]: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соматизированные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(соматоформные)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реакции,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формирующиеся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невротических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конституциональных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расстройствах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(неврозы,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невропатии);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психогенные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(нозогении),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возникающие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типу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симптоматической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лабильности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усиление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проявлений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спровоцированное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психогенно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(психосоматические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традиционном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понимании)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экзогенного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(соматогении),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проявляющиеся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сферу.</w:t>
      </w:r>
    </w:p>
    <w:p w14:paraId="1D495300" w14:textId="6A1CF7CF" w:rsidR="00727F64" w:rsidRPr="00727F64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Нозогенные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психогенные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расстройства,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обусловленные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влиянием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психотравмирующих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событий,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Факторы,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влияющие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нозогений: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диагноз,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жизненных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функций,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обострения,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ограничения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быту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концепции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Смучевича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нозогенных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реакциях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пациента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собственному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колебания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стресса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[3].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Выделяют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гипернозогнозию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преувеличение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тяжести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гипонозогнозию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игнорирование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пренебрежительное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ней.</w:t>
      </w:r>
    </w:p>
    <w:p w14:paraId="2101DFCC" w14:textId="275A458E" w:rsidR="00727F64" w:rsidRPr="00727F64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отличие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вышеизложенного,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концепция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Быкова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Курцина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физиологическое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возникновению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патологии,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стресса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преуменьшаются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[1,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47].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мозга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влияет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висцеральные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организма,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изменяя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внутренних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органов.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адаптация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среде.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эксперименте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доказано,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невротизированных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возникают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генерализованные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висцеральные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дисфункции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уменьшения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влияний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внутренние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органы.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аналогии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возникает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гипертоническая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язвенная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желудка,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ишемическая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болезнь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сердца</w:t>
      </w:r>
    </w:p>
    <w:p w14:paraId="5FF362CF" w14:textId="7E261A79" w:rsidR="00727F64" w:rsidRPr="00727F64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нейрогуморальной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теории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важнейшую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патологии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играют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перегрузки,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повышенные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внутреннего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равновесия,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несомненно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проявлениями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неспецифического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синдрома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«адаптации».</w:t>
      </w:r>
    </w:p>
    <w:p w14:paraId="172286E7" w14:textId="45B1D49F" w:rsidR="00727F64" w:rsidRPr="00727F64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разработаны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теории,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способны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объяснить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физиологические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механизмы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патологии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позиций.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27F64">
        <w:rPr>
          <w:rFonts w:ascii="Times New Roman" w:hAnsi="Times New Roman" w:cs="Times New Roman"/>
          <w:sz w:val="28"/>
          <w:szCs w:val="28"/>
        </w:rPr>
        <w:t>.</w:t>
      </w:r>
      <w:r w:rsidRPr="00727F64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27F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  <w:lang w:val="en-US"/>
        </w:rPr>
        <w:t>Harris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связывал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расстройств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внутренних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механизмов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регуляции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гипоталамо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гипофизарной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ретикулярной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ствола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мозга.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R.B.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Grinken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придавал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основное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взаимоотношений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гипоталамуса.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отечественных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ученых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истоки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кортико-висцеральной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теории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трудах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Сеченова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рефлекторных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основах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единстве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проявлений.</w:t>
      </w:r>
    </w:p>
    <w:p w14:paraId="229E0E62" w14:textId="1B6D389A" w:rsidR="00727F64" w:rsidRPr="00727F64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t>Огромная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расстройств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отведена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стрессу.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патология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возникает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воздействием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фактором,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обуславливают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перенапряжение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итоге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приводят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нарушению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гомеостаза.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«повышенные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требования»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организм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вырабатывает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стереотипную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адаптивную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реакцию.</w:t>
      </w:r>
    </w:p>
    <w:p w14:paraId="249A7D80" w14:textId="36840A67" w:rsidR="00727F64" w:rsidRPr="00727F64" w:rsidRDefault="00727F64" w:rsidP="00727F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F64">
        <w:rPr>
          <w:rFonts w:ascii="Times New Roman" w:hAnsi="Times New Roman" w:cs="Times New Roman"/>
          <w:sz w:val="28"/>
          <w:szCs w:val="28"/>
        </w:rPr>
        <w:lastRenderedPageBreak/>
        <w:t>Стресс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Селье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трехфазной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реакцией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адаптации,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состоящей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тревоги,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повышенной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резистентности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истощения.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Фаза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тревоги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психологическом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смысле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перенесение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человеком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состояний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как: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беспокойство,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эмоциональных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дискомфорт,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предчувствие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грозящей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психологическая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тревога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сопутствовать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стадиям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стресса.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истощении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резервов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возникают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психосоматические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F64">
        <w:rPr>
          <w:rFonts w:ascii="Times New Roman" w:hAnsi="Times New Roman" w:cs="Times New Roman"/>
          <w:sz w:val="28"/>
          <w:szCs w:val="28"/>
        </w:rPr>
        <w:t>расстройства.</w:t>
      </w:r>
    </w:p>
    <w:p w14:paraId="2DD8DBCA" w14:textId="77777777" w:rsidR="0073006A" w:rsidRDefault="0073006A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F2AF5" w14:textId="608F0CFB" w:rsidR="0073006A" w:rsidRDefault="0073006A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302AB96" w14:textId="00D7C2D7" w:rsidR="0085039C" w:rsidRDefault="0085039C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705A6DE5" w14:textId="7AFABB22" w:rsidR="0085039C" w:rsidRDefault="0085039C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DF766" w14:textId="77777777" w:rsidR="0085039C" w:rsidRDefault="0085039C" w:rsidP="0085039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Психосоматика - это междисциплинарная область научных знаний, занимающаяся изучением взаимосвязи соматических заболеваний (болезней тела) и психологических причин их возникновения. Объектом изучения психосоматики являются личность пациента, страдающего психосоматическим расстройством и индивидуальные психосоматические проявления. А предметом - психосоматические явления, их структура, функции, эволюция при различных видах патологий. Активное развитие психосоматики как науки началось с начала прошлого века. За это время сформировался ряд подходов к пониманию психосоматических явлений. Психоаналитический подход (Александер, Данбар, Хорни и др.) делает акцент на внутреннем психологическом конфликте. Для когнитивного подхода (П. Шильдер, А. Бек, Д. Келли) свойственно рассмотрение познавательных процессов в качестве ведущих причин развития болезней.</w:t>
      </w:r>
    </w:p>
    <w:p w14:paraId="7FE9FA96" w14:textId="1E28DF78" w:rsidR="0085039C" w:rsidRPr="0085039C" w:rsidRDefault="0085039C" w:rsidP="0085039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50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поведенческого подхода (Е. Клингер, Л. Клерман, К. Фостер и др.) учёные отстаивают мнение о том, что стратегия поведения, в частности избегание, может вызвать психосоматическую болезнь. На основании этих подходов современные специалисты рассматривают психосоматические заболевания как результат неправильного поведения личности, когда человек выбирает не стратегию решения проблем и поиска социальной поддержки в борьбе со стрессом (копинг - стратегию»), а тактику избегания (уход в болезнь, аддикции и т.д.). Эмоциональное напряжение в таком случае нарастает, нарушаются механизмы психологической защиты и происходит соматизация, то есть телесная реакция на стресс. Немаловажную роль играет и специфическое психическое расстройство - алекситимия. Поэтому в ходе психосоматической диагностики, включающей беседы и тестирование, специалист должен определить характер психосоматического расстройства и выбрать индивидуальную программу терапии для пациента.</w:t>
      </w:r>
    </w:p>
    <w:p w14:paraId="4D804557" w14:textId="527FAF5A" w:rsidR="0085039C" w:rsidRDefault="0085039C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3601894" w14:textId="687D6026" w:rsidR="00CD0D3F" w:rsidRPr="00CD0D3F" w:rsidRDefault="00CD0D3F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</w:t>
      </w:r>
      <w:r w:rsidR="00727F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</w:p>
    <w:p w14:paraId="41A90EB5" w14:textId="0DA61358" w:rsidR="00CD0D3F" w:rsidRPr="00CD0D3F" w:rsidRDefault="00CD0D3F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CF92F" w14:textId="34AC0358" w:rsidR="00CD0D3F" w:rsidRPr="00CD0D3F" w:rsidRDefault="00CD0D3F" w:rsidP="00CD0D3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Фусу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М.Н.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Психосоматические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расстройства: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теории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концепции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/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М.Н.Фусу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//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Психология.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Историко-критические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обзоры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и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современные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исследования: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-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2013.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-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№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1.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-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С.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85-88.</w:t>
      </w:r>
    </w:p>
    <w:p w14:paraId="71405D22" w14:textId="7F485571" w:rsidR="00CD0D3F" w:rsidRPr="00CD0D3F" w:rsidRDefault="00CD0D3F" w:rsidP="00CD0D3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Белялов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Ф.И.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Психосоматика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/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Ф.И.Белялов.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-</w:t>
      </w:r>
      <w:r w:rsidR="00727F64">
        <w:rPr>
          <w:rFonts w:ascii="Times New Roman" w:hAnsi="Times New Roman" w:cs="Times New Roman"/>
          <w:sz w:val="28"/>
          <w:szCs w:val="28"/>
        </w:rPr>
        <w:t xml:space="preserve">  </w:t>
      </w:r>
      <w:r w:rsidRPr="00CD0D3F">
        <w:rPr>
          <w:rFonts w:ascii="Times New Roman" w:hAnsi="Times New Roman" w:cs="Times New Roman"/>
          <w:sz w:val="28"/>
          <w:szCs w:val="28"/>
        </w:rPr>
        <w:t>ГЭОТАР-Медиа,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2019.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–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360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с.</w:t>
      </w:r>
    </w:p>
    <w:p w14:paraId="4D41D21E" w14:textId="119703B9" w:rsidR="00CD0D3F" w:rsidRPr="00CD0D3F" w:rsidRDefault="00CD0D3F" w:rsidP="00CD0D3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3F">
        <w:rPr>
          <w:rFonts w:ascii="Times New Roman" w:hAnsi="Times New Roman" w:cs="Times New Roman"/>
          <w:sz w:val="28"/>
          <w:szCs w:val="28"/>
        </w:rPr>
        <w:t>Смулевич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А.Б.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Психосоматические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расстройства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в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клинической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практике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/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А.Б.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Смулевич.-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М.: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МЕДпресс-информ,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2016.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–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776</w:t>
      </w:r>
      <w:r w:rsidR="00727F64">
        <w:rPr>
          <w:rFonts w:ascii="Times New Roman" w:hAnsi="Times New Roman" w:cs="Times New Roman"/>
          <w:sz w:val="28"/>
          <w:szCs w:val="28"/>
        </w:rPr>
        <w:t xml:space="preserve"> </w:t>
      </w:r>
      <w:r w:rsidRPr="00CD0D3F">
        <w:rPr>
          <w:rFonts w:ascii="Times New Roman" w:hAnsi="Times New Roman" w:cs="Times New Roman"/>
          <w:sz w:val="28"/>
          <w:szCs w:val="28"/>
        </w:rPr>
        <w:t>с.</w:t>
      </w:r>
    </w:p>
    <w:p w14:paraId="3740C56D" w14:textId="425E8661" w:rsidR="0085039C" w:rsidRDefault="0085039C" w:rsidP="00CD0D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42A5702" w14:textId="77777777" w:rsidR="0085039C" w:rsidRPr="0085039C" w:rsidRDefault="0085039C" w:rsidP="0085039C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39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Задание 2:</w:t>
      </w:r>
      <w:r w:rsidRPr="0085039C">
        <w:rPr>
          <w:rFonts w:ascii="Times New Roman" w:hAnsi="Times New Roman" w:cs="Times New Roman"/>
          <w:sz w:val="28"/>
          <w:szCs w:val="28"/>
          <w:lang w:eastAsia="ru-RU"/>
        </w:rPr>
        <w:t xml:space="preserve"> заполнить предлагаемую таблицу.</w:t>
      </w:r>
    </w:p>
    <w:p w14:paraId="4758DD5D" w14:textId="77777777" w:rsidR="0085039C" w:rsidRPr="0085039C" w:rsidRDefault="0085039C" w:rsidP="0085039C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39C">
        <w:rPr>
          <w:rFonts w:ascii="Times New Roman" w:hAnsi="Times New Roman" w:cs="Times New Roman"/>
          <w:sz w:val="28"/>
          <w:szCs w:val="28"/>
          <w:lang w:eastAsia="ru-RU"/>
        </w:rPr>
        <w:t xml:space="preserve">Научные направления и школы в психологии конца </w:t>
      </w:r>
      <w:r w:rsidRPr="0085039C">
        <w:rPr>
          <w:rFonts w:ascii="Times New Roman" w:hAnsi="Times New Roman" w:cs="Times New Roman"/>
          <w:sz w:val="28"/>
          <w:szCs w:val="28"/>
          <w:lang w:val="en-US" w:eastAsia="ru-RU"/>
        </w:rPr>
        <w:t>XIX</w:t>
      </w:r>
      <w:r w:rsidRPr="0085039C">
        <w:rPr>
          <w:rFonts w:ascii="Times New Roman" w:hAnsi="Times New Roman" w:cs="Times New Roman"/>
          <w:sz w:val="28"/>
          <w:szCs w:val="28"/>
          <w:lang w:eastAsia="ru-RU"/>
        </w:rPr>
        <w:t xml:space="preserve"> – начала </w:t>
      </w:r>
      <w:r w:rsidRPr="0085039C">
        <w:rPr>
          <w:rFonts w:ascii="Times New Roman" w:hAnsi="Times New Roman" w:cs="Times New Roman"/>
          <w:sz w:val="28"/>
          <w:szCs w:val="28"/>
          <w:lang w:val="en-US" w:eastAsia="ru-RU"/>
        </w:rPr>
        <w:t>XXI</w:t>
      </w:r>
      <w:r w:rsidRPr="0085039C">
        <w:rPr>
          <w:rFonts w:ascii="Times New Roman" w:hAnsi="Times New Roman" w:cs="Times New Roman"/>
          <w:sz w:val="28"/>
          <w:szCs w:val="28"/>
          <w:lang w:eastAsia="ru-RU"/>
        </w:rPr>
        <w:t xml:space="preserve"> века</w:t>
      </w:r>
    </w:p>
    <w:tbl>
      <w:tblPr>
        <w:tblW w:w="957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559"/>
        <w:gridCol w:w="2126"/>
        <w:gridCol w:w="2693"/>
        <w:gridCol w:w="1460"/>
      </w:tblGrid>
      <w:tr w:rsidR="0085039C" w:rsidRPr="009A352C" w14:paraId="3E4D87C3" w14:textId="77777777" w:rsidTr="00D00D5D">
        <w:trPr>
          <w:trHeight w:val="579"/>
        </w:trPr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0A28" w14:textId="77777777" w:rsidR="0085039C" w:rsidRPr="00D00D5D" w:rsidRDefault="0085039C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Научное направление или школа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D86A9" w14:textId="77777777" w:rsidR="0085039C" w:rsidRPr="00D00D5D" w:rsidRDefault="0085039C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Хронология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3CB0D" w14:textId="77777777" w:rsidR="0085039C" w:rsidRPr="00D00D5D" w:rsidRDefault="0085039C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Предмет изучения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17A67" w14:textId="77777777" w:rsidR="0085039C" w:rsidRPr="00D00D5D" w:rsidRDefault="0085039C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Важнейшие итоги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77B7F9" w14:textId="77777777" w:rsidR="0085039C" w:rsidRPr="00D00D5D" w:rsidRDefault="0085039C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Ученые</w:t>
            </w:r>
          </w:p>
          <w:p w14:paraId="5FD9B6FA" w14:textId="77777777" w:rsidR="0085039C" w:rsidRPr="00D00D5D" w:rsidRDefault="0085039C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39C" w:rsidRPr="009A352C" w14:paraId="65465A3B" w14:textId="77777777" w:rsidTr="00144649"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0FBE" w14:textId="094DF133" w:rsidR="0085039C" w:rsidRPr="00D00D5D" w:rsidRDefault="0085039C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Структурализм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C5F1" w14:textId="4C8A5352" w:rsidR="0085039C" w:rsidRPr="00D00D5D" w:rsidRDefault="00D00D5D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1920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D00D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1930.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60D3" w14:textId="5C684DEE" w:rsidR="0085039C" w:rsidRPr="00D00D5D" w:rsidRDefault="0085039C" w:rsidP="0014464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структуры сознания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7A48" w14:textId="340D421E" w:rsidR="0085039C" w:rsidRPr="00D00D5D" w:rsidRDefault="0085039C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Усовершенствованная интроспекция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FF1145" w14:textId="3D898930" w:rsidR="0085039C" w:rsidRPr="00D00D5D" w:rsidRDefault="0085039C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Э. Титченер</w:t>
            </w:r>
          </w:p>
        </w:tc>
      </w:tr>
      <w:tr w:rsidR="0085039C" w:rsidRPr="009A352C" w14:paraId="5693AC13" w14:textId="77777777" w:rsidTr="00144649"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854A" w14:textId="3E146DE9" w:rsidR="0085039C" w:rsidRPr="00D00D5D" w:rsidRDefault="0085039C" w:rsidP="0014464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Вюрцбургская школа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4B63" w14:textId="0E492F83" w:rsidR="0085039C" w:rsidRPr="00D00D5D" w:rsidRDefault="00D00D5D" w:rsidP="0014464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bCs/>
                <w:sz w:val="20"/>
                <w:szCs w:val="20"/>
              </w:rPr>
              <w:t>1896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F731" w14:textId="684BA7E5" w:rsidR="0085039C" w:rsidRPr="00D00D5D" w:rsidRDefault="00D00D5D" w:rsidP="0014464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динамики протекания познавательных процессов и факторов, на нее влияющих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1806" w14:textId="0E352B02" w:rsidR="0085039C" w:rsidRPr="00D00D5D" w:rsidRDefault="00D00D5D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 систематической экспериментальной интроспекции (словесного отчета)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947686" w14:textId="6143F9F1" w:rsidR="0085039C" w:rsidRPr="00D00D5D" w:rsidRDefault="00D00D5D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О. Кюльпе, Н.Ах, К. Бюлер, О. Зельц</w:t>
            </w:r>
          </w:p>
        </w:tc>
      </w:tr>
      <w:tr w:rsidR="0085039C" w:rsidRPr="009A352C" w14:paraId="456E0E5B" w14:textId="77777777" w:rsidTr="00144649">
        <w:trPr>
          <w:trHeight w:val="390"/>
        </w:trPr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33FC" w14:textId="66643A9B" w:rsidR="0085039C" w:rsidRPr="00D00D5D" w:rsidRDefault="00D00D5D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Функционализм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37A5" w14:textId="536D1640" w:rsidR="0085039C" w:rsidRPr="00D00D5D" w:rsidRDefault="00D00D5D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начала ХХ века.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7A67" w14:textId="5C1FEA7B" w:rsidR="0085039C" w:rsidRPr="00D00D5D" w:rsidRDefault="00D00D5D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Исследование психических актов, направленных на какой-либо предмет или действие и выполняющих определенную функцию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8381" w14:textId="5C1E2D80" w:rsidR="0085039C" w:rsidRPr="00D00D5D" w:rsidRDefault="00D00D5D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Наблюдение (как самонаблюдение, так и объективное наблюдение со стороны), анализ продуктов деятельности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D0CDA5" w14:textId="22775284" w:rsidR="0085039C" w:rsidRPr="00D00D5D" w:rsidRDefault="00D00D5D" w:rsidP="001446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Европа -Ф. Брентано, К. Штумпф. США-В. Джемс, Д.Дьюи, Д. Энджелл, Р. Вудвортс</w:t>
            </w:r>
          </w:p>
        </w:tc>
      </w:tr>
      <w:tr w:rsidR="00D00D5D" w:rsidRPr="009A352C" w14:paraId="240234A7" w14:textId="77777777" w:rsidTr="00144649">
        <w:trPr>
          <w:trHeight w:val="390"/>
        </w:trPr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48E4" w14:textId="73B598AD" w:rsidR="00D00D5D" w:rsidRPr="00D00D5D" w:rsidRDefault="00D00D5D" w:rsidP="00D00D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Французская школа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3031" w14:textId="0F69E554" w:rsidR="00D00D5D" w:rsidRPr="00D00D5D" w:rsidRDefault="00D00D5D" w:rsidP="00D00D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Pr="00D00D5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858-1917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87B8" w14:textId="705E47CD" w:rsidR="00D00D5D" w:rsidRPr="00D00D5D" w:rsidRDefault="00D00D5D" w:rsidP="00D00D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Изучение фактов и закономерностей психической жизни. Главным объектом являются больные люди (или люди с пограничными психическими состояниями), а также социальные сообщества разного уровня (группы, толпа, племя)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4EFF" w14:textId="71CEC581" w:rsidR="00D00D5D" w:rsidRPr="00D00D5D" w:rsidRDefault="00D00D5D" w:rsidP="00D00D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Клинический и кросс-культурный методы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446C78" w14:textId="6664FE4D" w:rsidR="00D00D5D" w:rsidRPr="00D00D5D" w:rsidRDefault="00D00D5D" w:rsidP="00D00D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Т. Рибо, П.Жане, Э. Дюркгейм, Л.Леви- Брюль, Г. Тард</w:t>
            </w:r>
          </w:p>
        </w:tc>
      </w:tr>
      <w:tr w:rsidR="00D00D5D" w:rsidRPr="009A352C" w14:paraId="11F27083" w14:textId="77777777" w:rsidTr="00144649">
        <w:trPr>
          <w:trHeight w:val="390"/>
        </w:trPr>
        <w:tc>
          <w:tcPr>
            <w:tcW w:w="17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B4AE" w14:textId="18AF0BCD" w:rsidR="00D00D5D" w:rsidRPr="00D00D5D" w:rsidRDefault="00D00D5D" w:rsidP="00D00D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Описательная психология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565F" w14:textId="461B44CE" w:rsidR="00D00D5D" w:rsidRPr="00D00D5D" w:rsidRDefault="00D00D5D" w:rsidP="00D00D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D5D">
              <w:rPr>
                <w:rFonts w:ascii="Times New Roman" w:hAnsi="Times New Roman" w:cs="Times New Roman"/>
                <w:sz w:val="20"/>
                <w:szCs w:val="20"/>
              </w:rPr>
              <w:t>1894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837" w14:textId="47972500" w:rsidR="00D00D5D" w:rsidRPr="00D00D5D" w:rsidRDefault="00D00D5D" w:rsidP="00D00D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Описание и анализ психических явлений как отдельных процессов жизненного целого, воплощенных в духовных, культурных ценностях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2751" w14:textId="3F7DBB18" w:rsidR="00D00D5D" w:rsidRPr="00D00D5D" w:rsidRDefault="00D00D5D" w:rsidP="00D00D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Постижение, основанное на анализе непосредственных переживаний «Я»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363740" w14:textId="4B7CC768" w:rsidR="00D00D5D" w:rsidRPr="00D00D5D" w:rsidRDefault="00D00D5D" w:rsidP="00D00D5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03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В. Дильтей, Э. Шпрангер</w:t>
            </w:r>
          </w:p>
        </w:tc>
      </w:tr>
    </w:tbl>
    <w:p w14:paraId="4A817052" w14:textId="77777777" w:rsidR="0085039C" w:rsidRPr="00CD0D3F" w:rsidRDefault="0085039C" w:rsidP="00D00D5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5039C" w:rsidRPr="00CD0D3F" w:rsidSect="00CD0D3F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84040" w14:textId="77777777" w:rsidR="00986B8D" w:rsidRDefault="00986B8D" w:rsidP="00CD0D3F">
      <w:pPr>
        <w:spacing w:after="0" w:line="240" w:lineRule="auto"/>
      </w:pPr>
      <w:r>
        <w:separator/>
      </w:r>
    </w:p>
  </w:endnote>
  <w:endnote w:type="continuationSeparator" w:id="0">
    <w:p w14:paraId="6CA24969" w14:textId="77777777" w:rsidR="00986B8D" w:rsidRDefault="00986B8D" w:rsidP="00CD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7414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8E83D0" w14:textId="21B5ADCD" w:rsidR="00727F64" w:rsidRPr="00CD0D3F" w:rsidRDefault="00727F64" w:rsidP="00CD0D3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0D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0D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0D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D0D3F">
          <w:rPr>
            <w:rFonts w:ascii="Times New Roman" w:hAnsi="Times New Roman" w:cs="Times New Roman"/>
            <w:sz w:val="24"/>
            <w:szCs w:val="24"/>
          </w:rPr>
          <w:t>2</w:t>
        </w:r>
        <w:r w:rsidRPr="00CD0D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6B8AF" w14:textId="77777777" w:rsidR="00986B8D" w:rsidRDefault="00986B8D" w:rsidP="00CD0D3F">
      <w:pPr>
        <w:spacing w:after="0" w:line="240" w:lineRule="auto"/>
      </w:pPr>
      <w:r>
        <w:separator/>
      </w:r>
    </w:p>
  </w:footnote>
  <w:footnote w:type="continuationSeparator" w:id="0">
    <w:p w14:paraId="32160198" w14:textId="77777777" w:rsidR="00986B8D" w:rsidRDefault="00986B8D" w:rsidP="00CD0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4323F"/>
    <w:multiLevelType w:val="hybridMultilevel"/>
    <w:tmpl w:val="BE94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A05B4"/>
    <w:multiLevelType w:val="hybridMultilevel"/>
    <w:tmpl w:val="FF727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AC"/>
    <w:rsid w:val="00232F8E"/>
    <w:rsid w:val="00727F64"/>
    <w:rsid w:val="0073006A"/>
    <w:rsid w:val="0085039C"/>
    <w:rsid w:val="008E5AAC"/>
    <w:rsid w:val="00986B8D"/>
    <w:rsid w:val="00CD0D3F"/>
    <w:rsid w:val="00D0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DCAA"/>
  <w15:chartTrackingRefBased/>
  <w15:docId w15:val="{FC73E2D4-A877-4BAC-949B-507D384F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0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D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D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CD0D3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D0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D3F"/>
  </w:style>
  <w:style w:type="paragraph" w:styleId="a6">
    <w:name w:val="footer"/>
    <w:basedOn w:val="a"/>
    <w:link w:val="a7"/>
    <w:uiPriority w:val="99"/>
    <w:unhideWhenUsed/>
    <w:rsid w:val="00CD0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D3F"/>
  </w:style>
  <w:style w:type="paragraph" w:styleId="a8">
    <w:name w:val="Normal (Web)"/>
    <w:basedOn w:val="a"/>
    <w:uiPriority w:val="99"/>
    <w:semiHidden/>
    <w:unhideWhenUsed/>
    <w:rsid w:val="00CD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0D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73006A"/>
    <w:rPr>
      <w:color w:val="0000FF"/>
      <w:u w:val="single"/>
    </w:rPr>
  </w:style>
  <w:style w:type="table" w:styleId="aa">
    <w:name w:val="Table Grid"/>
    <w:basedOn w:val="a1"/>
    <w:uiPriority w:val="39"/>
    <w:rsid w:val="0085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ooka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Баева</dc:creator>
  <cp:keywords/>
  <dc:description/>
  <cp:lastModifiedBy>Марина Баева</cp:lastModifiedBy>
  <cp:revision>3</cp:revision>
  <dcterms:created xsi:type="dcterms:W3CDTF">2021-03-19T16:58:00Z</dcterms:created>
  <dcterms:modified xsi:type="dcterms:W3CDTF">2021-03-19T17:40:00Z</dcterms:modified>
</cp:coreProperties>
</file>